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tiff" ContentType="image/tif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400"/>
        <w:gridCol w:w="200"/>
        <w:gridCol w:w="7100"/>
        <w:gridCol w:w="80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800"/>
        </w:trPr>
        <w:tc>
          <w:tcPr>
     </w:tcPr>
          <w:p>
            <w:pPr>
              <w:pStyle w:val="EMPTY_CELL_STYLE"/>
            </w:pPr>
          </w:p>
        </w:tc>
        <w:tc>
          <w:tcPr>
            <w:gridSpan w:val="3"/>
            <w:tcMar>
              <w:top w:w="0" w:type="dxa"/>
              <w:left w:w="0" w:type="dxa"/>
              <w:bottom w:w="0" w:type="dxa"/>
              <w:right w:w="0" w:type="dxa"/>
            </w:tcMar>
            <w:vAlign w:val="center"/>
          </w:tcPr>
          <w:p>
            <w:pPr>
              <w:ind/>
              <w:jc w:val="center"/>
              <w:spacing w:lineRule="auto" w:line="240" w:after="0" w:before="0"/>
            </w:pPr>
            <w:r>
              <w:rPr>
                <w:rFonts w:ascii="原版宋体" w:hAnsi="原版宋体" w:eastAsia="原版宋体" w:cs="原版宋体"/>
                <w:color w:val="000000"/>
                <w:sz w:val="40"/>
                <w:b w:val="true"/>
              </w:rPr>
              <w:t xml:space="preserve">“常乐星享年年享3号净值型人民币理财产品”定期报告</w:t>
            </w: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3"/>
            <w:tcMar>
              <w:top w:w="0" w:type="dxa"/>
              <w:left w:w="0" w:type="dxa"/>
              <w:bottom w:w="0" w:type="dxa"/>
              <w:right w:w="0" w:type="dxa"/>
            </w:tcMar>
            <w:vAlign w:val="top"/>
          </w:tcPr>
          <w:p>
            <w:pPr>
              <w:ind/>
            </w:pPr>
            <w:r>
              <w:rPr>
                <w:rFonts w:ascii="原版宋体" w:hAnsi="原版宋体" w:eastAsia="原版宋体" w:cs="原版宋体"/>
                <w:color w:val="000000"/>
                <w:sz w:val="20"/>
              </w:rPr>
              <w:t xml:space="preserve">产品管理人：常熟农商银行</w:t>
            </w:r>
          </w:p>
        </w:tc>
        <w:tc>
          <w:tcPr>
     </w:tcPr>
          <w:p>
            <w:pPr>
              <w:pStyle w:val="EMPTY_CELL_STYLE"/>
            </w:pPr>
          </w:p>
        </w:tc>
      </w:tr>
      <w:tr>
        <w:trPr>
          <w:trHeight w:hRule="exact" w:val="400"/>
        </w:trPr>
        <w:tc>
          <w:tcPr>
     </w:tcPr>
          <w:p>
            <w:pPr>
              <w:pStyle w:val="EMPTY_CELL_STYLE"/>
            </w:pPr>
          </w:p>
        </w:tc>
        <w:tc>
          <w:tcPr>
            <w:gridSpan w:val="3"/>
            <w:tcMar>
              <w:top w:w="0" w:type="dxa"/>
              <w:left w:w="0" w:type="dxa"/>
              <w:bottom w:w="0" w:type="dxa"/>
              <w:right w:w="0" w:type="dxa"/>
            </w:tcMar>
            <w:vAlign w:val="top"/>
          </w:tcPr>
          <w:p>
            <w:pPr>
              <w:ind/>
            </w:pPr>
            <w:r>
              <w:rPr>
                <w:rFonts w:ascii="原版宋体" w:hAnsi="原版宋体" w:eastAsia="原版宋体" w:cs="原版宋体"/>
                <w:color w:val="000000"/>
                <w:sz w:val="20"/>
              </w:rPr>
              <w:t xml:space="preserve">产品托管人：招商银行苏州分行营业部</w:t>
            </w:r>
          </w:p>
        </w:tc>
        <w:tc>
          <w:tcPr>
     </w:tcPr>
          <w:p>
            <w:pPr>
              <w:pStyle w:val="EMPTY_CELL_STYLE"/>
            </w:pPr>
          </w:p>
        </w:tc>
      </w:tr>
      <w:tr>
        <w:trPr>
          <w:trHeight w:hRule="exact" w:val="1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3"/>
            <w:tcMar>
              <w:top w:w="0" w:type="dxa"/>
              <w:left w:w="0" w:type="dxa"/>
              <w:bottom w:w="0" w:type="dxa"/>
              <w:right w:w="0" w:type="dxa"/>
            </w:tcMar>
            <w:vAlign w:val="top"/>
          </w:tcPr>
          <w:p>
            <w:pPr>
              <w:ind/>
            </w:pPr>
            <w:r>
              <w:rPr>
                <w:rFonts w:ascii="原版宋体" w:hAnsi="原版宋体" w:eastAsia="原版宋体" w:cs="原版宋体"/>
                <w:color w:val="000000"/>
                <w:sz w:val="20"/>
                <w:b w:val="true"/>
              </w:rPr>
              <w:t xml:space="preserve">1  重要提示</w:t>
            </w:r>
          </w:p>
        </w:tc>
        <w:tc>
          <w:tcPr>
     </w:tcPr>
          <w:p>
            <w:pPr>
              <w:pStyle w:val="EMPTY_CELL_STYLE"/>
            </w:pPr>
          </w:p>
        </w:tc>
      </w:tr>
      <w:tr>
        <w:trPr>
          <w:trHeight w:hRule="exact" w:val="400"/>
        </w:trPr>
        <w:tc>
          <w:tcPr>
     </w:tcPr>
          <w:p>
            <w:pPr>
              <w:pStyle w:val="EMPTY_CELL_STYLE"/>
            </w:pPr>
          </w:p>
        </w:tc>
        <w:tc>
          <w:tcPr>
            <w:gridSpan w:val="3"/>
            <w:tcMar>
              <w:top w:w="0" w:type="dxa"/>
              <w:left w:w="0" w:type="dxa"/>
              <w:bottom w:w="0" w:type="dxa"/>
              <w:right w:w="0" w:type="dxa"/>
            </w:tcMar>
            <w:vAlign w:val="top"/>
          </w:tcPr>
          <w:p>
            <w:pPr>
              <w:ind/>
            </w:pPr>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Pr>
          <w:p>
            <w:pPr>
              <w:pStyle w:val="EMPTY_CELL_STYLE"/>
            </w:pPr>
          </w:p>
        </w:tc>
      </w:tr>
      <w:tr>
        <w:trPr>
          <w:trHeight w:hRule="exact" w:val="400"/>
        </w:trPr>
        <w:tc>
          <w:tcPr>
     </w:tcPr>
          <w:p>
            <w:pPr>
              <w:pStyle w:val="EMPTY_CELL_STYLE"/>
            </w:pPr>
          </w:p>
        </w:tc>
        <w:tc>
          <w:tcPr>
            <w:gridSpan w:val="3"/>
            <w:tcMar>
              <w:top w:w="0" w:type="dxa"/>
              <w:left w:w="0" w:type="dxa"/>
              <w:bottom w:w="0" w:type="dxa"/>
              <w:right w:w="0" w:type="dxa"/>
            </w:tcMar>
            <w:vAlign w:val="top"/>
          </w:tcPr>
          <w:p>
            <w:pPr>
              <w:ind/>
            </w:pPr>
            <w:r>
              <w:rPr>
                <w:rFonts w:ascii="原版宋体" w:hAnsi="原版宋体" w:eastAsia="原版宋体" w:cs="原版宋体"/>
                <w:color w:val="000000"/>
                <w:sz w:val="20"/>
              </w:rPr>
              <w:t xml:space="preserve">    本报告中财务资料未经审计。</w:t>
            </w:r>
          </w:p>
        </w:tc>
        <w:tc>
          <w:tcPr>
     </w:tcPr>
          <w:p>
            <w:pPr>
              <w:pStyle w:val="EMPTY_CELL_STYLE"/>
            </w:pPr>
          </w:p>
        </w:tc>
      </w:tr>
      <w:tr>
        <w:trPr>
          <w:trHeight w:hRule="exact" w:val="400"/>
        </w:trPr>
        <w:tc>
          <w:tcPr>
     </w:tcPr>
          <w:p>
            <w:pPr>
              <w:pStyle w:val="EMPTY_CELL_STYLE"/>
            </w:pPr>
          </w:p>
        </w:tc>
        <w:tc>
          <w:tcPr>
            <w:gridSpan w:val="3"/>
            <w:tcMar>
              <w:top w:w="0" w:type="dxa"/>
              <w:left w:w="0" w:type="dxa"/>
              <w:bottom w:w="0" w:type="dxa"/>
              <w:right w:w="0" w:type="dxa"/>
            </w:tcMar>
            <w:vAlign w:val="top"/>
          </w:tcPr>
          <w:p>
            <w:pPr>
              <w:ind/>
            </w:pPr>
            <w:r>
              <w:rPr>
                <w:rFonts w:ascii="原版宋体" w:hAnsi="原版宋体" w:eastAsia="原版宋体" w:cs="原版宋体"/>
                <w:color w:val="000000"/>
                <w:sz w:val="20"/>
              </w:rPr>
              <w:t xml:space="preserve">    本报告期自2023年01月01日起至03月31日止。</w:t>
            </w: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3"/>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b w:val="true"/>
              </w:rPr>
              <w:t xml:space="preserve">2  产品概况</w:t>
            </w:r>
          </w:p>
        </w:tc>
        <w:tc>
          <w:tcPr>
     </w:tcPr>
          <w:p>
            <w:pPr>
              <w:pStyle w:val="EMPTY_CELL_STYLE"/>
            </w:pPr>
          </w:p>
        </w:tc>
      </w:tr>
      <w:tr>
        <w:trPr>
          <w:trHeight w:hRule="exact" w:val="8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产品名称</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常乐星享年年享3号净值型人民币理财产品</w:t>
            </w: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产品编码</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CLXXN003</w:t>
            </w: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全国银行业理财信息登记系统编码</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C1115421000016</w:t>
            </w: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产品运作方式</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开放式净值型</w:t>
            </w: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产品类型</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固定收益类</w:t>
            </w: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募集方式</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公募</w:t>
            </w: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报告期末产品份额总额（万份）</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39641</w:t>
            </w: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产品管理人</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常熟农商银行</w:t>
            </w:r>
          </w:p>
        </w:tc>
        <w:tc>
          <w:tcPr>
     </w:tcPr>
          <w:p>
            <w:pPr>
              <w:pStyle w:val="EMPTY_CELL_STYLE"/>
            </w:pPr>
          </w:p>
        </w:tc>
      </w:tr>
      <w:tr>
        <w:trPr>
          <w:trHeight w:hRule="exact" w:val="12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3"/>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b w:val="true"/>
              </w:rPr>
              <w:t xml:space="preserve">3  产品净值表现</w:t>
            </w:r>
          </w:p>
        </w:tc>
        <w:tc>
          <w:tcPr>
     </w:tcPr>
          <w:p>
            <w:pPr>
              <w:pStyle w:val="EMPTY_CELL_STYLE"/>
            </w:pPr>
          </w:p>
        </w:tc>
      </w:tr>
      <w:tr>
        <w:trPr>
          <w:trHeight w:hRule="exact" w:val="44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right"/>
              <w:spacing w:lineRule="auto" w:line="360" w:after="0" w:before="0"/>
            </w:pPr>
            <w:r>
              <w:rPr>
                <w:rFonts w:ascii="原版宋体" w:hAnsi="原版宋体" w:eastAsia="原版宋体" w:cs="原版宋体"/>
                <w:color w:val="000000"/>
                <w:sz w:val="20"/>
              </w:rPr>
              <w:t xml:space="preserve">（单位：元）</w:t>
            </w: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4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报告期（2023年01月01日-2023年03月31日）</w:t>
            </w:r>
          </w:p>
        </w:tc>
        <w:tc>
          <w:tcPr>
     </w:tcPr>
          <w:p>
            <w:pPr>
              <w:pStyle w:val="EMPTY_CELL_STYLE"/>
            </w:pPr>
          </w:p>
        </w:tc>
      </w:tr>
      <w:tr>
        <w:trPr>
          <w:trHeight w:hRule="exact" w:val="44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1.期末产品资产净值</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422,720,608.30</w:t>
            </w:r>
          </w:p>
        </w:tc>
        <w:tc>
          <w:tcPr>
     </w:tcPr>
          <w:p>
            <w:pPr>
              <w:pStyle w:val="EMPTY_CELL_STYLE"/>
            </w:pPr>
          </w:p>
        </w:tc>
      </w:tr>
      <w:tr>
        <w:trPr>
          <w:trHeight w:hRule="exact" w:val="44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2.期末产品份额净值</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1.066367</w:t>
            </w:r>
          </w:p>
        </w:tc>
        <w:tc>
          <w:tcPr>
     </w:tcPr>
          <w:p>
            <w:pPr>
              <w:pStyle w:val="EMPTY_CELL_STYLE"/>
            </w:pPr>
          </w:p>
        </w:tc>
      </w:tr>
      <w:tr>
        <w:trPr>
          <w:trHeight w:hRule="exact" w:val="44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3.期末产品份额累计净值</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1.066367</w:t>
            </w:r>
          </w:p>
        </w:tc>
        <w:tc>
          <w:tcPr>
     </w:tcPr>
          <w:p>
            <w:pPr>
              <w:pStyle w:val="EMPTY_CELL_STYLE"/>
            </w:pPr>
          </w:p>
        </w:tc>
      </w:tr>
    </w:tbl>
    <w:tbl>
      <w:tblPr>
        <w:tblLayout w:type="fixed"/>
      </w:tblPr>
      <w:tblGrid>
        <w:gridCol w:w="1"/>
        <w:gridCol w:w="800"/>
        <w:gridCol w:w="3200"/>
        <w:gridCol w:w="20"/>
        <w:gridCol w:w="3380"/>
        <w:gridCol w:w="220"/>
        <w:gridCol w:w="3080"/>
        <w:gridCol w:w="800"/>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6"/>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b w:val="true"/>
              </w:rPr>
              <w:t xml:space="preserve">4  投资组合报告</w:t>
            </w:r>
          </w:p>
        </w:tc>
        <w:tc>
          <w:tcPr>
     </w:tcPr>
          <w:p>
            <w:pPr>
              <w:pStyle w:val="EMPTY_CELL_STYLE"/>
            </w:pPr>
          </w:p>
        </w:tc>
      </w:tr>
      <w:tr>
        <w:trPr>
          <w:trHeight w:hRule="exact" w:val="420"/>
        </w:trPr>
        <w:tc>
          <w:tcPr>
     </w:tcPr>
          <w:p>
            <w:pPr>
              <w:pStyle w:val="EMPTY_CELL_STYLE"/>
            </w:pPr>
          </w:p>
        </w:tc>
        <w:tc>
          <w:tcPr>
            <w:gridSpan w:val="6"/>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4.1 报告期末产品资产组合情况</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项目</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金额（元）</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占产品总资产的比例（%）</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固定收益投资</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451,067,879.77</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99.64%</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其中：债券</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400,040,756.48</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88.37%</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非标资产</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51,027,123.29</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11.27%</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权益投资</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其中：基金</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3</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金融衍生品投资</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买入返售金融资产</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其中：买断式回购</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5</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银行存款合计</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1,636,172.38</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0.36%</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6</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其他资产</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7</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合计</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452,704,052.15</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100.00%</w:t>
            </w:r>
          </w:p>
        </w:tc>
        <w:tc>
          <w:tcPr>
     </w:tcPr>
          <w:p>
            <w:pPr>
              <w:pStyle w:val="EMPTY_CELL_STYLE"/>
            </w:pPr>
          </w:p>
        </w:tc>
      </w:tr>
      <w:tr>
        <w:trPr>
          <w:trHeight w:hRule="exact" w:val="20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gridSpan w:val="6"/>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4.2 报告期末按债券品种分类的债券投资组合</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债券品种</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金额（元）</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占产品资产净值比例（％）</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国家债券</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20,883,425.41</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4.94%</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央行票据</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3</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金融债券</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24,366,117.04</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5.76%</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其中：政策性金融债</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24,366,117.04</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5.76%</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企业债券</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324,257,832.52</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76.71%</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5</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企业短期融资券</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30,533,381.51</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7.22%</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6</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可转债</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7</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其他</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8</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合计</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400,040,756.48</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94.63%</w:t>
            </w:r>
          </w:p>
        </w:tc>
        <w:tc>
          <w:tcPr>
     </w:tcPr>
          <w:p>
            <w:pPr>
              <w:pStyle w:val="EMPTY_CELL_STYLE"/>
            </w:pPr>
          </w:p>
        </w:tc>
      </w:tr>
    </w:tbl>
    <w:tbl>
      <w:tblPr>
        <w:tblLayout w:type="fixed"/>
      </w:tblPr>
      <w:tblGrid>
        <w:gridCol w:w="1"/>
        <w:gridCol w:w="800"/>
        <w:gridCol w:w="2000"/>
        <w:gridCol w:w="2200"/>
        <w:gridCol w:w="1200"/>
        <w:gridCol w:w="800"/>
        <w:gridCol w:w="400"/>
        <w:gridCol w:w="1200"/>
        <w:gridCol w:w="400"/>
        <w:gridCol w:w="1700"/>
        <w:gridCol w:w="8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gridSpan w:val="9"/>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4.3 报告期末按市值占产品资产净值比例大小排名的前十名资产投资明细</w:t>
            </w: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资产代码</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资产名称</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数量</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市值(元)</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b w:val="true"/>
              </w:rPr>
              <w:t xml:space="preserve">占产品资产净值比例（％）</w:t>
            </w: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pPr>
            <w:r>
              <w:rPr>
                <w:rFonts w:ascii="原版宋体" w:hAnsi="原版宋体" w:eastAsia="原版宋体" w:cs="原版宋体"/>
                <w:color w:val="000000"/>
                <w:sz w:val="20"/>
              </w:rPr>
              <w:t xml:space="preserve"> 1</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22881302                        </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22富皋万泰03</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50,000,000.00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51,027,123.29</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12.07%</w:t>
            </w: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pPr>
            <w:r>
              <w:rPr>
                <w:rFonts w:ascii="原版宋体" w:hAnsi="原版宋体" w:eastAsia="原版宋体" w:cs="原版宋体"/>
                <w:color w:val="000000"/>
                <w:sz w:val="20"/>
              </w:rPr>
              <w:t xml:space="preserve"> 2</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SS182391        </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22杭湾01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40,000,000.00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40,040,614.90</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9.47%</w:t>
            </w: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pPr>
            <w:r>
              <w:rPr>
                <w:rFonts w:ascii="原版宋体" w:hAnsi="原版宋体" w:eastAsia="原版宋体" w:cs="原版宋体"/>
                <w:color w:val="000000"/>
                <w:sz w:val="20"/>
              </w:rPr>
              <w:t xml:space="preserve"> 3</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102280819       </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22中兴国资MTN001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35,000,000.00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36,046,224.79</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8.53%</w:t>
            </w: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pPr>
            <w:r>
              <w:rPr>
                <w:rFonts w:ascii="原版宋体" w:hAnsi="原版宋体" w:eastAsia="原版宋体" w:cs="原版宋体"/>
                <w:color w:val="000000"/>
                <w:sz w:val="20"/>
              </w:rPr>
              <w:t xml:space="preserve"> 4</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2080204         </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20山水专项债</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30,000,000.00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31,561,698.49</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7.47%</w:t>
            </w: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pPr>
            <w:r>
              <w:rPr>
                <w:rFonts w:ascii="原版宋体" w:hAnsi="原版宋体" w:eastAsia="原版宋体" w:cs="原版宋体"/>
                <w:color w:val="000000"/>
                <w:sz w:val="20"/>
              </w:rPr>
              <w:t xml:space="preserve"> 5</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1880150         </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18金湖交投债</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47,400,000.00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30,632,805.81</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7.25%</w:t>
            </w: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pPr>
            <w:r>
              <w:rPr>
                <w:rFonts w:ascii="原版宋体" w:hAnsi="原版宋体" w:eastAsia="原版宋体" w:cs="原版宋体"/>
                <w:color w:val="000000"/>
                <w:sz w:val="20"/>
              </w:rPr>
              <w:t xml:space="preserve"> 6</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SS194341        </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22鑫泰02</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25,000,000.00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26,334,071.72</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6.23%</w:t>
            </w: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pPr>
            <w:r>
              <w:rPr>
                <w:rFonts w:ascii="原版宋体" w:hAnsi="原版宋体" w:eastAsia="原版宋体" w:cs="原版宋体"/>
                <w:color w:val="000000"/>
                <w:sz w:val="20"/>
              </w:rPr>
              <w:t xml:space="preserve"> 7</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SS151331        </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19泰投01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25,000,000.00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25,021,881.15</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5.92%</w:t>
            </w: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pPr>
            <w:r>
              <w:rPr>
                <w:rFonts w:ascii="原版宋体" w:hAnsi="原版宋体" w:eastAsia="原版宋体" w:cs="原版宋体"/>
                <w:color w:val="000000"/>
                <w:sz w:val="20"/>
              </w:rPr>
              <w:t xml:space="preserve"> 8</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220206          </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22国开06</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24,000,000.00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24,366,117.04</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5.76%</w:t>
            </w: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pPr>
            <w:r>
              <w:rPr>
                <w:rFonts w:ascii="原版宋体" w:hAnsi="原版宋体" w:eastAsia="原版宋体" w:cs="原版宋体"/>
                <w:color w:val="000000"/>
                <w:sz w:val="20"/>
              </w:rPr>
              <w:t xml:space="preserve"> 9</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1780135         </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17青州建投债01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55,000,000.00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22,518,666.58</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5.33%</w:t>
            </w: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pPr>
            <w:r>
              <w:rPr>
                <w:rFonts w:ascii="原版宋体" w:hAnsi="原版宋体" w:eastAsia="原版宋体" w:cs="原版宋体"/>
                <w:color w:val="000000"/>
                <w:sz w:val="20"/>
              </w:rPr>
              <w:t xml:space="preserve"> 10</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SS152161        </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19木渎债</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30,000,000.00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22,187,337.12</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5.25%</w:t>
            </w:r>
          </w:p>
        </w:tc>
        <w:tc>
          <w:tcPr>
     </w:tcPr>
          <w:p>
            <w:pPr>
              <w:pStyle w:val="EMPTY_CELL_STYLE"/>
            </w:pPr>
          </w:p>
        </w:tc>
      </w:tr>
      <w:tr>
        <w:trPr>
          <w:trHeight w:hRule="exact" w:val="3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gridSpan w:val="9"/>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4.4 报告期末非标准化债权类资产明细</w:t>
            </w: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融资客户</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名称</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到期日</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资产类型</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b w:val="true"/>
              </w:rPr>
              <w:t xml:space="preserve">交易结构</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b w:val="true"/>
              </w:rPr>
              <w:t xml:space="preserve">风险状况</w:t>
            </w: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pPr>
            <w:r>
              <w:rPr>
                <w:rFonts w:ascii="原版宋体" w:hAnsi="原版宋体" w:eastAsia="原版宋体" w:cs="原版宋体"/>
                <w:color w:val="000000"/>
                <w:sz w:val="20"/>
              </w:rPr>
              <w:t xml:space="preserve"> 1</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富皋万泰集团有限公司</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22富皋万泰03</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center"/>
            </w:pPr>
            <w:r>
              <w:rPr>
                <w:rFonts w:ascii="原版宋体" w:hAnsi="原版宋体" w:eastAsia="原版宋体" w:cs="原版宋体"/>
                <w:color w:val="000000"/>
                <w:sz w:val="20"/>
              </w:rPr>
              <w:t xml:space="preserve">2023-10-20</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理财直融工具</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直接投资</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目前未发生违约或逾期事件</w:t>
            </w:r>
          </w:p>
        </w:tc>
        <w:tc>
          <w:tcPr>
     </w:tcPr>
          <w:p>
            <w:pPr>
              <w:pStyle w:val="EMPTY_CELL_STYLE"/>
            </w:pPr>
          </w:p>
        </w:tc>
      </w:tr>
      <w:tr>
        <w:trPr>
          <w:trHeight w:hRule="exact" w:val="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9"/>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4.5 报告期末投资组合流动性风险分析</w:t>
            </w:r>
          </w:p>
        </w:tc>
        <w:tc>
          <w:tcPr>
     </w:tcPr>
          <w:p>
            <w:pPr>
              <w:pStyle w:val="EMPTY_CELL_STYLE"/>
            </w:pPr>
          </w:p>
        </w:tc>
      </w:tr>
      <w:tr>
        <w:trPr>
          <w:trHeight w:hRule="exact" w:val="1200"/>
        </w:trPr>
        <w:tc>
          <w:tcPr>
     </w:tcPr>
          <w:p>
            <w:pPr>
              <w:pStyle w:val="EMPTY_CELL_STYLE"/>
            </w:pPr>
          </w:p>
        </w:tc>
        <w:tc>
          <w:tcPr>
            <w:gridSpan w:val="9"/>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Pr>
          <w:p>
            <w:pPr>
              <w:pStyle w:val="EMPTY_CELL_STYLE"/>
            </w:pPr>
          </w:p>
        </w:tc>
      </w:tr>
      <w:tr>
        <w:trPr>
          <w:trHeight w:hRule="exact" w:val="10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9"/>
            <w:tcMar>
              <w:top w:w="0" w:type="dxa"/>
              <w:left w:w="0" w:type="dxa"/>
              <w:bottom w:w="0" w:type="dxa"/>
              <w:right w:w="0" w:type="dxa"/>
            </w:tcMar>
            <w:vAlign w:val="top"/>
          </w:tcPr>
          <w:p>
            <w:pPr>
              <w:ind/>
              <w:spacing w:lineRule="auto" w:line="360" w:after="0" w:before="0"/>
            </w:pPr>
            <w:r>
              <w:rPr>
                <w:rFonts w:ascii="原版宋体" w:hAnsi="原版宋体" w:eastAsia="原版宋体" w:cs="原版宋体"/>
                <w:color w:val="000000"/>
                <w:sz w:val="20"/>
              </w:rPr>
              <w:t xml:space="preserve">    特此公告。</w:t>
            </w:r>
          </w:p>
        </w:tc>
        <w:tc>
          <w:tcPr>
     </w:tcPr>
          <w:p>
            <w:pPr>
              <w:pStyle w:val="EMPTY_CELL_STYLE"/>
            </w:pPr>
          </w:p>
        </w:tc>
      </w:tr>
      <w:tr>
        <w:trPr>
          <w:trHeight w:hRule="exact" w:val="400"/>
        </w:trPr>
        <w:tc>
          <w:tcPr>
     </w:tcPr>
          <w:p>
            <w:pPr>
              <w:pStyle w:val="EMPTY_CELL_STYLE"/>
            </w:pPr>
          </w:p>
        </w:tc>
        <w:tc>
          <w:tcPr>
            <w:gridSpan w:val="9"/>
            <w:tcMar>
              <w:top w:w="0" w:type="dxa"/>
              <w:left w:w="0" w:type="dxa"/>
              <w:bottom w:w="0" w:type="dxa"/>
              <w:right w:w="0" w:type="dxa"/>
            </w:tcMar>
            <w:vAlign w:val="top"/>
          </w:tcPr>
          <w:p>
            <w:pPr>
              <w:ind/>
              <w:jc w:val="right"/>
              <w:spacing w:lineRule="auto" w:line="360" w:after="0" w:before="0"/>
            </w:pPr>
            <w:r>
              <w:rPr>
                <w:rFonts w:ascii="原版宋体" w:hAnsi="原版宋体" w:eastAsia="原版宋体" w:cs="原版宋体"/>
                <w:color w:val="000000"/>
                <w:sz w:val="20"/>
              </w:rPr>
              <w:t xml:space="preserve">江苏常熟农村商业银行股份有限公司</w:t>
            </w:r>
          </w:p>
        </w:tc>
        <w:tc>
          <w:tcPr>
     </w:tcPr>
          <w:p>
            <w:pPr>
              <w:pStyle w:val="EMPTY_CELL_STYLE"/>
            </w:pPr>
          </w:p>
        </w:tc>
      </w:tr>
      <w:tr>
        <w:trPr>
          <w:trHeight w:hRule="exact" w:val="400"/>
        </w:trPr>
        <w:tc>
          <w:tcPr>
     </w:tcPr>
          <w:p>
            <w:pPr>
              <w:pStyle w:val="EMPTY_CELL_STYLE"/>
            </w:pPr>
          </w:p>
        </w:tc>
        <w:tc>
          <w:tcPr>
            <w:gridSpan w:val="9"/>
            <w:tcMar>
              <w:top w:w="0" w:type="dxa"/>
              <w:left w:w="0" w:type="dxa"/>
              <w:bottom w:w="0" w:type="dxa"/>
              <w:right w:w="0" w:type="dxa"/>
            </w:tcMar>
            <w:vAlign w:val="top"/>
          </w:tcPr>
          <w:p>
            <w:pPr>
              <w:ind/>
              <w:jc w:val="right"/>
              <w:spacing w:lineRule="auto" w:line="360" w:after="0" w:before="0"/>
            </w:pPr>
            <w:r>
              <w:rPr>
                <w:rFonts w:ascii="原版宋体" w:hAnsi="原版宋体" w:eastAsia="原版宋体" w:cs="原版宋体"/>
                <w:color w:val="000000"/>
                <w:sz w:val="20"/>
              </w:rPr>
              <w:t xml:space="preserve">2023年04月06日</w:t>
            </w:r>
          </w:p>
        </w:tc>
        <w:tc>
          <w:tcPr>
     </w:tcPr>
          <w:p>
            <w:pPr>
              <w:pStyle w:val="EMPTY_CELL_STYLE"/>
            </w:pPr>
          </w:p>
        </w:tc>
      </w:tr>
    </w:tbl>
    <w:sectPr>
      <w:pgSz w:w="13900" w:h="16860" w:orient="portrait" w:code="2538"/>
      <w:pgMar w:top="800" w:right="1200" w:bottom="440" w:left="1200" w:header="0" w:footer="0" w:gutter="0"/>
      <w:docGrid w:linePitch="360"/>
    </w:sectPr>
  </w:body>
</w:document>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s>
</file>

<file path=word/_rels/document.xml.rels><?xml version="1.0" encoding="UTF-8"?>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s>

</file>

<file path=docProps/app.xml><?xml version="1.0" encoding="utf-8"?>
<Properties xmlns="http://schemas.openxmlformats.org/officeDocument/2006/extended-properties">
  <Application>JasperReports Library version 6.4.3</Applicat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coreProperties>
</file>