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“常乐星享季季享1号净值型理财产品”定期报告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本报告期自2023年01月01日起至03月31日止。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常乐星享季季享1号净值型理财产品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CLXXJ001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C1115420000008</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19463</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报告期（2023年01月01日-2023年03月31日）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212,160,988.61</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1.090023</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1.090023</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241,986,162.65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99.59%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241,986,162.65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99.59%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994,886.56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0.41%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242,981,049.21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27,148,453.04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12.80%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30,402,980.83</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14.33%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30,402,980.83</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14.33%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174,223,143.71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82.12%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10,211,585.07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241,986,162.65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114.06%</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180027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18附息国债27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26,000,000.00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27,148,453.04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12.80%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SS197161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21扬经开</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20,377,296.36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032100139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21仪征城发PPN001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15,466,834.93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7.29%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SZ133266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22嘉塍01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11,265,693.22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5.31%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SS167496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20滨建01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10,269,004.57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042280547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22海安开投CP002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10,211,585.07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180413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18农发13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10,204,200.96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SS114188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22宜兴03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10,202,801.98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032200262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22嘉兴滨海PPN001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10,193,148.32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032191503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21中兴国资PPN002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10,168,507.53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4.79%</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bookmarkStart w:id="3" w:name="_GoBack"/>
            <w:bookmarkEnd w:id="3"/>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常熟农商银行-常乐星享季季享</w:t>
            </w:r>
            <w:r>
              <w:rPr>
                <w:rFonts w:hint="eastAsia" w:ascii="原版宋体" w:hAnsi="原版宋体" w:eastAsia="原版宋体" w:cs="原版宋体"/>
                <w:color w:val="000000"/>
                <w:sz w:val="20"/>
                <w:lang w:val="en-US" w:eastAsia="zh-CN"/>
              </w:rPr>
              <w:t>1</w:t>
            </w:r>
            <w:r>
              <w:rPr>
                <w:rFonts w:hint="eastAsia" w:ascii="原版宋体" w:hAnsi="原版宋体" w:eastAsia="原版宋体" w:cs="原版宋体"/>
                <w:color w:val="000000"/>
                <w:sz w:val="20"/>
                <w:lang w:eastAsia="zh-CN"/>
              </w:rPr>
              <w:t>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Theme="minorEastAsia" w:hAnsiTheme="minorEastAsia" w:eastAsiaTheme="minorEastAsia" w:cstheme="minorEastAsia"/>
                <w:sz w:val="20"/>
                <w:szCs w:val="21"/>
              </w:rPr>
              <w:t>512902284610111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2023年04月06日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documentProtection w:enforcement="0"/>
  <w:defaultTabStop w:val="800"/>
  <w:compat>
    <w:useFELayout/>
    <w:splitPgBreakAndParaMark/>
    <w:compatSetting w:name="compatibilityMode" w:uri="http://schemas.microsoft.com/office/word" w:val="12"/>
  </w:compat>
  <w:rsids>
    <w:rsidRoot w:val="00000000"/>
    <w:rsid w:val="573663B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2023-04-06T08:43:52Z</dcterms:created>
  <dc:creator>crcb</dc:creator>
  <cp:lastModifiedBy>crcb</cp:lastModifiedBy>
  <dcterms:modified xsi:type="dcterms:W3CDTF">2023-04-06T09:02:09Z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