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“常乐睿享价值精选1号净值型人民币理财产品”定期报告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产品托管人：上海银行常熟支行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常乐睿享价值精选1号净值型人民币理财产品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CLRXJZ001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C1115421000020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1513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13,332,797.82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0.880826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0.880826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12,419,428.21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91.92%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12,419,428.21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91.92%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1,091,590.62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13,511,018.83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166005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中欧价值发现混合型证券投资基金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394,597.46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915,110.97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003293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易方达科瑞混合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423,706.38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872,199.58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002450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平安睿享文娱灵活配置混合型证券投资基金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380,289.30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812,678.23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007177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浙商智能行业优选混合发起式A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580,098.44</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803,552.36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450004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国富深化价值混合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447,562.84</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792,947.08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000628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大成高新技术产业股票</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207,941.11</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741,933.88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161720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招商中证证券公司A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749,500.56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726,191.09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310358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申万菱信新经济混合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645,086.82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718,239.67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161028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富国中证新能源汽车指数(LOF)A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647,406.35</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671,360.38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001186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富国文体健康股票A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289,157.72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656,098.87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4.4 </w:t>
            </w:r>
            <w:r>
              <w:rPr>
                <w:rFonts w:hint="eastAsia" w:ascii="原版宋体" w:hAnsi="原版宋体" w:eastAsia="原版宋体" w:cs="原版宋体"/>
                <w:color w:val="000000"/>
                <w:sz w:val="20"/>
              </w:rPr>
              <w:t>报告期内理财产品投资策略和运作分析</w:t>
            </w:r>
          </w:p>
        </w:tc>
        <w:tc>
          <w:tcPr>
            <w:tcW w:w="800" w:type="dxa"/>
          </w:tcPr>
          <w:p>
            <w:pPr>
              <w:pStyle w:val="4"/>
            </w:pPr>
          </w:p>
        </w:tc>
      </w:tr>
      <w:tr>
        <w:tblPrEx>
          <w:tblLayout w:type="fixed"/>
          <w:tblCellMar>
            <w:top w:w="0" w:type="dxa"/>
            <w:left w:w="10" w:type="dxa"/>
            <w:bottom w:w="0" w:type="dxa"/>
            <w:right w:w="10" w:type="dxa"/>
          </w:tblCellMar>
        </w:tblPrEx>
        <w:trPr>
          <w:trHeight w:val="2482"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一季度，股市震荡向上，但偏股基金整体没有表现出太好的赚钱效应，本产品一季度小幅跑赢偏股基金指数。考虑到疫情、美联储加息和俄乌战争三大笼罩去年的负面因素将在2023年消退，我们的开年展望比较乐观，因此在年初早早加仓了券商、新能源等进攻性品种，组合风格较去年更偏向成长，并依旧维持了超过90%的高仓位。此外，我们认识到在快速轮动的市场环境中，来自基金经理选股层面的超额收益将变得更加重要，我们正在通过研究扩充衡量基金经理超额收益能力的维度，以更好辨识出具备选股优势的基金经理，并以他们作为组合的重要底仓。同时，我们也小幅了提高了组合中量化策略基金的比重。</w:t>
            </w:r>
            <w:bookmarkStart w:id="3" w:name="_GoBack"/>
            <w:bookmarkEnd w:id="3"/>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常熟农商银行常乐睿享价值精选1号净值型人民币理财产品 </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03004741257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上海银行股份有限公司常熟支行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documentProtection w:enforcement="0"/>
  <w:defaultTabStop w:val="800"/>
  <w:compat>
    <w:useFELayout/>
    <w:splitPgBreakAndParaMark/>
    <w:compatSetting w:name="compatibilityMode" w:uri="http://schemas.microsoft.com/office/word" w:val="12"/>
  </w:compat>
  <w:rsids>
    <w:rsidRoot w:val="00000000"/>
    <w:rsid w:val="7DF971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2023-04-06T08:19:36Z</dcterms:created>
  <dc:creator>crcb</dc:creator>
  <cp:lastModifiedBy>crcb</cp:lastModifiedBy>
  <dcterms:modified xsi:type="dcterms:W3CDTF">2023-04-06T08:20:41Z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