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“常乐智享一年期净值型理财产品”定期报告</w:t>
            </w:r>
          </w:p>
        </w:tc>
        <w:tc>
          <w:tcPr>
            <w:tcW w:w="800" w:type="dxa"/>
          </w:tcPr>
          <w:p>
            <w:pPr>
              <w:pStyle w:val="4"/>
            </w:pPr>
          </w:p>
        </w:tc>
      </w:tr>
      <w:tr>
        <w:tblPrEx>
          <w:tblLayout w:type="fixed"/>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产品托管人：招商银行苏州分行营业部</w:t>
            </w:r>
          </w:p>
        </w:tc>
        <w:tc>
          <w:tcPr>
            <w:tcW w:w="800" w:type="dxa"/>
          </w:tcPr>
          <w:p>
            <w:pPr>
              <w:pStyle w:val="4"/>
            </w:pPr>
          </w:p>
        </w:tc>
      </w:tr>
      <w:tr>
        <w:tblPrEx>
          <w:tblLayout w:type="fixed"/>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本报告期自2023年01月01日起至03月31日止。</w:t>
            </w:r>
          </w:p>
        </w:tc>
        <w:tc>
          <w:tcPr>
            <w:tcW w:w="800" w:type="dxa"/>
          </w:tcPr>
          <w:p>
            <w:pPr>
              <w:pStyle w:val="4"/>
            </w:pPr>
          </w:p>
        </w:tc>
      </w:tr>
      <w:tr>
        <w:tblPrEx>
          <w:tblLayout w:type="fixed"/>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常乐智享一年期净值型理财产品</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CLZX12M</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C1115420000005</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83215</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报告期（2023年01月01日-2023年03月31日）</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917,610,794.83</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1.102695</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1.102695</w:t>
            </w:r>
          </w:p>
        </w:tc>
        <w:tc>
          <w:tcPr>
            <w:tcW w:w="800" w:type="dxa"/>
          </w:tcPr>
          <w:p>
            <w:pPr>
              <w:pStyle w:val="4"/>
            </w:pPr>
          </w:p>
        </w:tc>
      </w:tr>
      <w:tr>
        <w:tblPrEx>
          <w:tblLayout w:type="fixed"/>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905,800,790.58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97.76%</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905,800,790.58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97.76%</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7,294,848.19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0.79%</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7,294,848.19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0.79%</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13,506,736.69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1.45%</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926,602,375.46</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144,517,460.82</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15.75%</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70,812,419.04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7.72%</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761,283,329.76</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82.96%</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905,800,790.58</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98.71%</w:t>
            </w:r>
          </w:p>
        </w:tc>
        <w:tc>
          <w:tcPr>
            <w:tcW w:w="800" w:type="dxa"/>
          </w:tcPr>
          <w:p>
            <w:pPr>
              <w:pStyle w:val="4"/>
            </w:pPr>
          </w:p>
        </w:tc>
      </w:tr>
      <w:tr>
        <w:tblPrEx>
          <w:tblLayout w:type="fixed"/>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SS167921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20华靖02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58,000,000.00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59,496,266.35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6.48%</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SS177159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20泰交02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56,141,399.59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6.12%</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SS178475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21海建01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52,436,878.15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5.71%</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SS177162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20国兴02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51,057,743.49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5.56%</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SS167748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20运河01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51,044,832.83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5.56%</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SS151604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19瑞安04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47,163,481.68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5.14%</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1921017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19武汉农商二级01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42,344,930.96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4.61%</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200207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20国开07</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40,888,298.08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4.46%</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SS151876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19余投05</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38,700,000.00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40,411,464.13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4.40%</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SS178872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21淮发01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33,000,000.00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34,110,779.39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3.72%</w:t>
            </w:r>
          </w:p>
        </w:tc>
        <w:tc>
          <w:tcPr>
            <w:tcW w:w="800" w:type="dxa"/>
          </w:tcPr>
          <w:p>
            <w:pPr>
              <w:pStyle w:val="4"/>
            </w:pPr>
          </w:p>
        </w:tc>
      </w:tr>
      <w:tr>
        <w:tblPrEx>
          <w:tblLayout w:type="fixed"/>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00" w:hRule="exact"/>
        </w:trPr>
        <w:tc>
          <w:tcPr>
            <w:tcW w:w="1" w:type="dxa"/>
          </w:tcPr>
          <w:p>
            <w:pPr>
              <w:pStyle w:val="4"/>
            </w:pPr>
            <w:bookmarkStart w:id="3" w:name="_GoBack" w:colFirst="1" w:colLast="6"/>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Theme="minorEastAsia" w:hAnsiTheme="minorEastAsia" w:eastAsiaTheme="minorEastAsia" w:cstheme="minorEastAsia"/>
                <w:sz w:val="21"/>
              </w:rPr>
              <w:t>常熟农商银行-常乐智享一年期净值型理财产品</w:t>
            </w:r>
          </w:p>
        </w:tc>
        <w:tc>
          <w:tcPr>
            <w:tcW w:w="800" w:type="dxa"/>
          </w:tcPr>
          <w:p>
            <w:pPr>
              <w:pStyle w:val="4"/>
            </w:pPr>
          </w:p>
        </w:tc>
      </w:tr>
      <w:tr>
        <w:tblPrEx>
          <w:tblLayout w:type="fixed"/>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asciiTheme="minorEastAsia" w:hAnsiTheme="minorEastAsia" w:eastAsiaTheme="minorEastAsia" w:cstheme="minorEastAsia"/>
                <w:sz w:val="21"/>
              </w:rPr>
              <w:t>512902284610108</w:t>
            </w:r>
          </w:p>
        </w:tc>
        <w:tc>
          <w:tcPr>
            <w:tcW w:w="800" w:type="dxa"/>
          </w:tcPr>
          <w:p>
            <w:pPr>
              <w:pStyle w:val="4"/>
            </w:pPr>
          </w:p>
        </w:tc>
      </w:tr>
      <w:tr>
        <w:tblPrEx>
          <w:tblLayout w:type="fixed"/>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Theme="minorEastAsia" w:hAnsiTheme="minorEastAsia" w:eastAsiaTheme="minorEastAsia" w:cstheme="minorEastAsia"/>
                <w:sz w:val="21"/>
              </w:rPr>
              <w:t>招商银行苏州分行营业部</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bookmarkEnd w:id="3"/>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2023年04月06日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documentProtection w:enforcement="0"/>
  <w:defaultTabStop w:val="800"/>
  <w:compat>
    <w:useFELayout/>
    <w:splitPgBreakAndParaMark/>
    <w:compatSetting w:name="compatibilityMode" w:uri="http://schemas.microsoft.com/office/word" w:val="12"/>
  </w:compat>
  <w:rsids>
    <w:rsidRoot w:val="00000000"/>
    <w:rsid w:val="3C084FD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2023-04-07T00:05:55Z</dcterms:created>
  <dc:creator>crcb</dc:creator>
  <cp:lastModifiedBy>crcb</cp:lastModifiedBy>
  <dcterms:modified xsi:type="dcterms:W3CDTF">2023-04-07T00:06:20Z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